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宋体" w:hAnsi="宋体" w:eastAsia="宋体"/>
          <w:b w:val="0"/>
          <w:bCs/>
          <w:sz w:val="30"/>
          <w:szCs w:val="30"/>
          <w:lang w:eastAsia="zh-CN"/>
        </w:rPr>
        <w:t>附件</w:t>
      </w:r>
      <w:r>
        <w:rPr>
          <w:rFonts w:hint="eastAsia" w:ascii="宋体" w:hAnsi="宋体" w:eastAsia="宋体"/>
          <w:b w:val="0"/>
          <w:bCs/>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2023年度湖南省社会主义学院系统</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招标</w:t>
      </w: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课题指南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一、党的二十大精神研究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习近平新时代中国特色社会主义思想的世界观和方法论研究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习近平新时代中国特色社会主义思想话语体系研究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推进马克思主义中国化时代化研究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中国式现代化与中华民族伟大复兴研究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5.党的二十大关于统一战线的新思想新要求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统一战线与中国式现代化研究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坚持党的领导、统一战线、协商民主有机结合研究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“三个务必”的价值意蕴与实践要求研究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实现第二个百年奋斗目标新赶考路上需防范的重大风险研究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弘扬以伟大建党精神为源头的中国共产党人精神谱系研究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以党的自我革命引领社会革命研究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二、习近平总书记关于做好新时代党的统一战线工作的重要思想研究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习近平总书记关于做好新时代党的统一战线工作的重要思想的理论渊源研究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习近平总书记关于做好新时代党的统一战线工作的重要思想的实践基础研究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习近平总书记关于做好新时代党的统一战线工作的重要思想的核心要义研究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习近平总书记关于加强和改进人民政协工作的重要思想研究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习近平总书记关于新型政党制度的重要论述研究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习近平总书记关于党外知识分子工作的重要论述研究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习近平总书记关于加强和改进民族工作的重要思想研究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习近平总书记关于铸牢中华民族共同体意识的重要论述研究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习近平总书记关于宗教工作的重要论述研究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习近平总书记关于非公有制经济领域统战工作的重要论述研究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习近平总书记关于新的社会阶层人士统战工作的重要论述研究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习近平总书记关于港澳台统战工作的重要论述研究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习近平总书记关于海外统战工作和侨务工作的重要论述研究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三、统一战线理论与实践研究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完善大统战工作格局研究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加强新时代中华儿女大团结研究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统一战线服务全过程人民民主研究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4.新型政党制度与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中国式现代化研究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新时代加强参政党自身建设研究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新时代做好网络统战工作研究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全面发展协商民主研究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铸牢中华民族共同体意识的湖南实践研究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我国宗教中国化理论与实践研究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sz w:val="32"/>
          <w:szCs w:val="32"/>
          <w:lang w:val="en-US" w:eastAsia="zh-CN"/>
        </w:rPr>
        <w:t>加强民营经济领域意识形态工作研究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党外知识分子政治引领和作用发挥研究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四、中华文化研究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数字时代马克思主义理论创新与传播研究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sz w:val="32"/>
          <w:szCs w:val="32"/>
          <w:lang w:val="en-US" w:eastAsia="zh-CN"/>
        </w:rPr>
        <w:t>中国共产党统一战线思想的新媒体传播策略研究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中国式现代化道路的文化渊源及其创新贡献研究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中国式民主的文化基因研究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sz w:val="32"/>
          <w:szCs w:val="32"/>
          <w:lang w:eastAsia="zh-CN"/>
        </w:rPr>
        <w:t>文化自信自强与中华民族凝聚力研究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中华文明的特质与铸牢中华民族共同体意识研究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我国宗教中国化的中华文化思想资源研究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涵养壮大知华友华力量，促进中外文化文明交流互鉴研究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发挥地域文化优势，助力现代化新湖南建设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WFlZGEzYjFjYTA4OGE4YzMxYjA5ZDQ0MzE3NDIifQ=="/>
    <w:docVar w:name="KSO_WPS_MARK_KEY" w:val="c435933c-c3c9-493d-b78e-2b6dfeddc9f0"/>
  </w:docVars>
  <w:rsids>
    <w:rsidRoot w:val="1079589E"/>
    <w:rsid w:val="012C3069"/>
    <w:rsid w:val="053E2DFC"/>
    <w:rsid w:val="0704399C"/>
    <w:rsid w:val="080A3B40"/>
    <w:rsid w:val="0D544E4B"/>
    <w:rsid w:val="0FC8155B"/>
    <w:rsid w:val="1079589E"/>
    <w:rsid w:val="107C0612"/>
    <w:rsid w:val="10B63FE7"/>
    <w:rsid w:val="154A11A2"/>
    <w:rsid w:val="15852B5A"/>
    <w:rsid w:val="15B858E6"/>
    <w:rsid w:val="25527D63"/>
    <w:rsid w:val="25BD7D93"/>
    <w:rsid w:val="2ACC1655"/>
    <w:rsid w:val="2E4B7DB1"/>
    <w:rsid w:val="302B4050"/>
    <w:rsid w:val="389E51DD"/>
    <w:rsid w:val="3C457019"/>
    <w:rsid w:val="3F6768FF"/>
    <w:rsid w:val="4613720A"/>
    <w:rsid w:val="50A76F82"/>
    <w:rsid w:val="54A1221A"/>
    <w:rsid w:val="592D3876"/>
    <w:rsid w:val="639B32CB"/>
    <w:rsid w:val="73135431"/>
    <w:rsid w:val="7C540886"/>
    <w:rsid w:val="7F6E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1068</Characters>
  <Lines>0</Lines>
  <Paragraphs>0</Paragraphs>
  <TotalTime>0</TotalTime>
  <ScaleCrop>false</ScaleCrop>
  <LinksUpToDate>false</LinksUpToDate>
  <CharactersWithSpaces>1068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2023-02-23T02:56:00Z</dcterms:created>
  <dc:creator>千寻唯玉</dc:creator>
  <cp:lastModifiedBy>hnsy</cp:lastModifiedBy>
  <dcterms:modified xsi:type="dcterms:W3CDTF">2023-03-30T07:27:38Z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24BCEB26191A4E85A274A173FCDE3EAA</vt:lpwstr>
  </property>
</Properties>
</file>